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3EA12" w14:textId="77777777" w:rsidR="00FC44C3" w:rsidRDefault="00807EEE" w:rsidP="00FC44C3">
      <w:pPr>
        <w:spacing w:after="0" w:line="256" w:lineRule="auto"/>
        <w:jc w:val="center"/>
        <w:rPr>
          <w:rFonts w:ascii="Arial" w:eastAsia="Calibri" w:hAnsi="Arial" w:cs="Arial"/>
          <w:b/>
          <w:lang w:val="en-US"/>
        </w:rPr>
      </w:pPr>
      <w:r w:rsidRPr="00E86888">
        <w:rPr>
          <w:rFonts w:ascii="Arial" w:eastAsia="Calibri" w:hAnsi="Arial" w:cs="Arial"/>
          <w:b/>
          <w:lang w:val="en-US"/>
        </w:rPr>
        <w:t>IFRRO Newspapers and Period</w:t>
      </w:r>
      <w:r w:rsidR="00DB3076" w:rsidRPr="00E86888">
        <w:rPr>
          <w:rFonts w:ascii="Arial" w:eastAsia="Calibri" w:hAnsi="Arial" w:cs="Arial"/>
          <w:b/>
          <w:lang w:val="en-US"/>
        </w:rPr>
        <w:t>i</w:t>
      </w:r>
      <w:r w:rsidRPr="00E86888">
        <w:rPr>
          <w:rFonts w:ascii="Arial" w:eastAsia="Calibri" w:hAnsi="Arial" w:cs="Arial"/>
          <w:b/>
          <w:lang w:val="en-US"/>
        </w:rPr>
        <w:t>cals Working Group (NPWG)</w:t>
      </w:r>
    </w:p>
    <w:p w14:paraId="0378F323" w14:textId="07A26330" w:rsidR="00671904" w:rsidRPr="00671904" w:rsidRDefault="00FC44C3" w:rsidP="00FC44C3">
      <w:pPr>
        <w:spacing w:after="0" w:line="256" w:lineRule="auto"/>
        <w:jc w:val="center"/>
        <w:rPr>
          <w:rFonts w:ascii="Arial" w:eastAsia="Calibri" w:hAnsi="Arial" w:cs="Arial"/>
          <w:b/>
          <w:lang w:val="en-US"/>
        </w:rPr>
      </w:pPr>
      <w:r>
        <w:rPr>
          <w:rFonts w:ascii="Arial" w:eastAsia="Calibri" w:hAnsi="Arial" w:cs="Arial"/>
          <w:b/>
          <w:lang w:val="en-US"/>
        </w:rPr>
        <w:t xml:space="preserve">21 May </w:t>
      </w:r>
      <w:r w:rsidR="00671904" w:rsidRPr="00671904">
        <w:rPr>
          <w:rFonts w:ascii="Arial" w:eastAsia="Calibri" w:hAnsi="Arial" w:cs="Arial"/>
          <w:b/>
          <w:lang w:val="en-US"/>
        </w:rPr>
        <w:t>202</w:t>
      </w:r>
      <w:r>
        <w:rPr>
          <w:rFonts w:ascii="Arial" w:eastAsia="Calibri" w:hAnsi="Arial" w:cs="Arial"/>
          <w:b/>
          <w:lang w:val="en-US"/>
        </w:rPr>
        <w:t>5</w:t>
      </w:r>
      <w:r w:rsidR="00427A6A">
        <w:rPr>
          <w:rFonts w:ascii="Arial" w:eastAsia="Calibri" w:hAnsi="Arial" w:cs="Arial"/>
          <w:b/>
          <w:lang w:val="en-US"/>
        </w:rPr>
        <w:t xml:space="preserve">, </w:t>
      </w:r>
      <w:r w:rsidR="00671904" w:rsidRPr="00671904">
        <w:rPr>
          <w:rFonts w:ascii="Arial" w:eastAsia="Calibri" w:hAnsi="Arial" w:cs="Arial"/>
          <w:b/>
          <w:lang w:val="en-US"/>
        </w:rPr>
        <w:t>09:00 – 10:30</w:t>
      </w:r>
    </w:p>
    <w:p w14:paraId="1A742537" w14:textId="1DCFD38B" w:rsidR="002F4122" w:rsidRDefault="00FC44C3" w:rsidP="00807EEE">
      <w:pPr>
        <w:spacing w:after="0" w:line="256" w:lineRule="auto"/>
        <w:jc w:val="center"/>
        <w:rPr>
          <w:rFonts w:ascii="Arial" w:eastAsia="Calibri" w:hAnsi="Arial" w:cs="Arial"/>
          <w:b/>
          <w:bCs/>
        </w:rPr>
      </w:pPr>
      <w:r w:rsidRPr="00FC44C3">
        <w:rPr>
          <w:rFonts w:ascii="Arial" w:eastAsia="Calibri" w:hAnsi="Arial" w:cs="Arial"/>
          <w:b/>
          <w:bCs/>
        </w:rPr>
        <w:t>Hotel Sofitel Luxembourg Europe</w:t>
      </w:r>
      <w:r w:rsidR="00572B36">
        <w:rPr>
          <w:rFonts w:ascii="Arial" w:eastAsia="Calibri" w:hAnsi="Arial" w:cs="Arial"/>
          <w:b/>
          <w:bCs/>
        </w:rPr>
        <w:t xml:space="preserve">, </w:t>
      </w:r>
      <w:r w:rsidRPr="00FC44C3">
        <w:rPr>
          <w:rFonts w:ascii="Arial" w:eastAsia="Calibri" w:hAnsi="Arial" w:cs="Arial"/>
          <w:b/>
          <w:bCs/>
        </w:rPr>
        <w:t xml:space="preserve">6 Rue du Fort </w:t>
      </w:r>
      <w:proofErr w:type="spellStart"/>
      <w:r w:rsidRPr="00FC44C3">
        <w:rPr>
          <w:rFonts w:ascii="Arial" w:eastAsia="Calibri" w:hAnsi="Arial" w:cs="Arial"/>
          <w:b/>
          <w:bCs/>
        </w:rPr>
        <w:t>Niedergruenewald</w:t>
      </w:r>
      <w:proofErr w:type="spellEnd"/>
      <w:r w:rsidRPr="00FC44C3">
        <w:rPr>
          <w:rFonts w:ascii="Arial" w:eastAsia="Calibri" w:hAnsi="Arial" w:cs="Arial"/>
          <w:b/>
          <w:bCs/>
        </w:rPr>
        <w:t>, </w:t>
      </w:r>
      <w:r w:rsidRPr="00FC44C3">
        <w:rPr>
          <w:rFonts w:ascii="Arial" w:eastAsia="Calibri" w:hAnsi="Arial" w:cs="Arial"/>
          <w:b/>
          <w:bCs/>
        </w:rPr>
        <w:br/>
        <w:t>2226 Kirchberg Luxembourg</w:t>
      </w:r>
    </w:p>
    <w:p w14:paraId="655DFD2F" w14:textId="77777777" w:rsidR="00FC44C3" w:rsidRPr="00E86888" w:rsidRDefault="00FC44C3" w:rsidP="00807EEE">
      <w:pPr>
        <w:spacing w:after="0" w:line="256" w:lineRule="auto"/>
        <w:jc w:val="center"/>
        <w:rPr>
          <w:rFonts w:ascii="Arial" w:eastAsia="Calibri" w:hAnsi="Arial" w:cs="Arial"/>
          <w:b/>
          <w:lang w:val="en-US"/>
        </w:rPr>
      </w:pPr>
    </w:p>
    <w:p w14:paraId="5F671174" w14:textId="7C9DCDBB" w:rsidR="00004E13" w:rsidRPr="002F4122" w:rsidRDefault="00807EEE" w:rsidP="00671904">
      <w:pPr>
        <w:spacing w:after="0" w:line="256" w:lineRule="auto"/>
        <w:jc w:val="center"/>
        <w:rPr>
          <w:rFonts w:ascii="Arial" w:hAnsi="Arial" w:cs="Arial"/>
          <w:sz w:val="24"/>
          <w:szCs w:val="24"/>
        </w:rPr>
      </w:pPr>
      <w:r w:rsidRPr="00671904">
        <w:rPr>
          <w:rFonts w:ascii="Arial" w:eastAsia="Calibri" w:hAnsi="Arial" w:cs="Arial"/>
          <w:b/>
        </w:rPr>
        <w:t xml:space="preserve">Draft </w:t>
      </w:r>
      <w:r w:rsidR="002F4122" w:rsidRPr="00671904">
        <w:rPr>
          <w:rFonts w:ascii="Arial" w:eastAsia="Calibri" w:hAnsi="Arial" w:cs="Arial"/>
          <w:b/>
        </w:rPr>
        <w:t>not</w:t>
      </w:r>
      <w:r w:rsidR="00C86C1E" w:rsidRPr="00671904">
        <w:rPr>
          <w:rFonts w:ascii="Arial" w:eastAsia="Calibri" w:hAnsi="Arial" w:cs="Arial"/>
          <w:b/>
        </w:rPr>
        <w:t>es</w:t>
      </w:r>
    </w:p>
    <w:p w14:paraId="238D5DAA" w14:textId="77777777" w:rsidR="002F4122" w:rsidRDefault="002F4122" w:rsidP="00004E13">
      <w:pPr>
        <w:spacing w:after="0" w:line="240" w:lineRule="auto"/>
        <w:rPr>
          <w:rFonts w:ascii="Arial" w:hAnsi="Arial" w:cs="Arial"/>
        </w:rPr>
      </w:pPr>
    </w:p>
    <w:p w14:paraId="14058D9F" w14:textId="30EB47BB" w:rsidR="009F387C" w:rsidRPr="00671904" w:rsidRDefault="00671904" w:rsidP="00671904">
      <w:pPr>
        <w:pStyle w:val="ListParagraph"/>
        <w:numPr>
          <w:ilvl w:val="0"/>
          <w:numId w:val="18"/>
        </w:numPr>
        <w:spacing w:after="0" w:line="240" w:lineRule="auto"/>
        <w:rPr>
          <w:rFonts w:ascii="Arial" w:hAnsi="Arial" w:cs="Arial"/>
          <w:lang w:val="en-US"/>
        </w:rPr>
      </w:pPr>
      <w:r w:rsidRPr="00671904">
        <w:rPr>
          <w:rFonts w:ascii="Arial" w:hAnsi="Arial" w:cs="Arial"/>
          <w:b/>
          <w:bCs/>
        </w:rPr>
        <w:t xml:space="preserve">Approval of agenda/notes of </w:t>
      </w:r>
      <w:r w:rsidR="00FC44C3">
        <w:rPr>
          <w:rFonts w:ascii="Arial" w:hAnsi="Arial" w:cs="Arial"/>
          <w:b/>
          <w:bCs/>
        </w:rPr>
        <w:t xml:space="preserve">3 October </w:t>
      </w:r>
      <w:r w:rsidRPr="00671904">
        <w:rPr>
          <w:rFonts w:ascii="Arial" w:hAnsi="Arial" w:cs="Arial"/>
          <w:b/>
          <w:bCs/>
        </w:rPr>
        <w:t>2024 / introduction</w:t>
      </w:r>
    </w:p>
    <w:p w14:paraId="11C1B2BD" w14:textId="77777777" w:rsidR="00671904" w:rsidRPr="00671904" w:rsidRDefault="00671904" w:rsidP="00671904">
      <w:pPr>
        <w:pStyle w:val="ListParagraph"/>
        <w:spacing w:after="0" w:line="240" w:lineRule="auto"/>
        <w:rPr>
          <w:rFonts w:ascii="Arial" w:hAnsi="Arial" w:cs="Arial"/>
          <w:lang w:val="en-US"/>
        </w:rPr>
      </w:pPr>
    </w:p>
    <w:p w14:paraId="03843B15" w14:textId="77777777" w:rsidR="00A85257" w:rsidRDefault="009003ED" w:rsidP="00004E13">
      <w:pPr>
        <w:spacing w:after="0" w:line="240" w:lineRule="auto"/>
        <w:rPr>
          <w:rStyle w:val="Hyperlink"/>
          <w:rFonts w:ascii="Arial" w:hAnsi="Arial" w:cs="Arial"/>
        </w:rPr>
      </w:pPr>
      <w:r w:rsidRPr="00CE623F">
        <w:rPr>
          <w:rFonts w:ascii="Arial" w:hAnsi="Arial" w:cs="Arial"/>
        </w:rPr>
        <w:t xml:space="preserve">NPWG Chair, </w:t>
      </w:r>
      <w:r w:rsidR="0021073A" w:rsidRPr="00935AA3">
        <w:rPr>
          <w:rFonts w:ascii="Arial" w:hAnsi="Arial" w:cs="Arial"/>
          <w:i/>
          <w:iCs/>
        </w:rPr>
        <w:t>Sandra Chastanet</w:t>
      </w:r>
      <w:r w:rsidR="00B675DB">
        <w:rPr>
          <w:rFonts w:ascii="Arial" w:hAnsi="Arial" w:cs="Arial"/>
          <w:i/>
          <w:iCs/>
        </w:rPr>
        <w:t xml:space="preserve">, </w:t>
      </w:r>
      <w:r w:rsidRPr="00005B85">
        <w:rPr>
          <w:rFonts w:ascii="Arial" w:hAnsi="Arial" w:cs="Arial"/>
        </w:rPr>
        <w:t>CFC</w:t>
      </w:r>
      <w:r w:rsidR="00005B85">
        <w:rPr>
          <w:rFonts w:ascii="Arial" w:hAnsi="Arial" w:cs="Arial"/>
        </w:rPr>
        <w:t>,</w:t>
      </w:r>
      <w:r w:rsidR="002F4122" w:rsidRPr="00CE623F">
        <w:rPr>
          <w:rFonts w:ascii="Arial" w:hAnsi="Arial" w:cs="Arial"/>
        </w:rPr>
        <w:t xml:space="preserve"> ope</w:t>
      </w:r>
      <w:r w:rsidR="00737BF4" w:rsidRPr="00CE623F">
        <w:rPr>
          <w:rFonts w:ascii="Arial" w:hAnsi="Arial" w:cs="Arial"/>
        </w:rPr>
        <w:t xml:space="preserve">ned </w:t>
      </w:r>
      <w:r w:rsidR="002F4122" w:rsidRPr="00CE623F">
        <w:rPr>
          <w:rFonts w:ascii="Arial" w:hAnsi="Arial" w:cs="Arial"/>
        </w:rPr>
        <w:t>the meeting.</w:t>
      </w:r>
      <w:r w:rsidR="00737BF4" w:rsidRPr="00CE623F">
        <w:rPr>
          <w:rFonts w:ascii="Arial" w:hAnsi="Arial" w:cs="Arial"/>
        </w:rPr>
        <w:t xml:space="preserve"> The</w:t>
      </w:r>
      <w:r w:rsidR="00C86C1E" w:rsidRPr="00CE623F">
        <w:rPr>
          <w:rFonts w:ascii="Arial" w:hAnsi="Arial" w:cs="Arial"/>
          <w:lang w:val="en-US"/>
        </w:rPr>
        <w:t xml:space="preserve"> </w:t>
      </w:r>
      <w:r w:rsidR="003F1E77" w:rsidRPr="009F387C">
        <w:rPr>
          <w:rFonts w:ascii="Arial" w:hAnsi="Arial" w:cs="Arial"/>
        </w:rPr>
        <w:t xml:space="preserve">notes of </w:t>
      </w:r>
      <w:r w:rsidR="009F387C">
        <w:rPr>
          <w:rFonts w:ascii="Arial" w:hAnsi="Arial" w:cs="Arial"/>
        </w:rPr>
        <w:t>the</w:t>
      </w:r>
      <w:r w:rsidR="00D81EE1" w:rsidRPr="00D81EE1">
        <w:rPr>
          <w:rFonts w:ascii="Arial" w:hAnsi="Arial" w:cs="Arial"/>
        </w:rPr>
        <w:t xml:space="preserve"> </w:t>
      </w:r>
      <w:r w:rsidR="00D81EE1">
        <w:rPr>
          <w:rFonts w:ascii="Arial" w:hAnsi="Arial" w:cs="Arial"/>
        </w:rPr>
        <w:t xml:space="preserve">meeting of </w:t>
      </w:r>
      <w:hyperlink r:id="rId7" w:history="1">
        <w:r w:rsidR="00FC44C3">
          <w:rPr>
            <w:rStyle w:val="Hyperlink"/>
            <w:rFonts w:ascii="Arial" w:hAnsi="Arial" w:cs="Arial"/>
          </w:rPr>
          <w:t xml:space="preserve">3 </w:t>
        </w:r>
        <w:r w:rsidR="009F387C" w:rsidRPr="00427A6A">
          <w:rPr>
            <w:rStyle w:val="Hyperlink"/>
            <w:rFonts w:ascii="Arial" w:hAnsi="Arial" w:cs="Arial"/>
          </w:rPr>
          <w:t>October 202</w:t>
        </w:r>
        <w:r w:rsidR="00427A6A" w:rsidRPr="00427A6A">
          <w:rPr>
            <w:rStyle w:val="Hyperlink"/>
            <w:rFonts w:ascii="Arial" w:hAnsi="Arial" w:cs="Arial"/>
          </w:rPr>
          <w:t>4</w:t>
        </w:r>
      </w:hyperlink>
      <w:r w:rsidR="00427A6A">
        <w:rPr>
          <w:rFonts w:ascii="Arial" w:hAnsi="Arial" w:cs="Arial"/>
        </w:rPr>
        <w:t xml:space="preserve"> </w:t>
      </w:r>
      <w:r w:rsidR="00400A3D" w:rsidRPr="00CE623F">
        <w:rPr>
          <w:rFonts w:ascii="Arial" w:hAnsi="Arial" w:cs="Arial"/>
          <w:lang w:val="en-US"/>
        </w:rPr>
        <w:t>were approved, along with t</w:t>
      </w:r>
      <w:r w:rsidR="00A63019" w:rsidRPr="00CE623F">
        <w:rPr>
          <w:rFonts w:ascii="Arial" w:hAnsi="Arial" w:cs="Arial"/>
          <w:lang w:val="en-US"/>
        </w:rPr>
        <w:t>he</w:t>
      </w:r>
      <w:r w:rsidR="0021073A" w:rsidRPr="00CE623F">
        <w:rPr>
          <w:rFonts w:ascii="Arial" w:hAnsi="Arial" w:cs="Arial"/>
        </w:rPr>
        <w:t xml:space="preserve"> </w:t>
      </w:r>
      <w:r w:rsidR="002A0DAC">
        <w:rPr>
          <w:rFonts w:ascii="Arial" w:hAnsi="Arial" w:cs="Arial"/>
        </w:rPr>
        <w:fldChar w:fldCharType="begin"/>
      </w:r>
      <w:r w:rsidR="00FC44C3">
        <w:rPr>
          <w:rFonts w:ascii="Arial" w:hAnsi="Arial" w:cs="Arial"/>
        </w:rPr>
        <w:instrText>HYPERLINK "https://ifrro.org/resources/documents/Meetings/NPWG_agenda_21May2025_2.pdf" \t "_blank"</w:instrText>
      </w:r>
      <w:r w:rsidR="002A0DAC">
        <w:rPr>
          <w:rFonts w:ascii="Arial" w:hAnsi="Arial" w:cs="Arial"/>
        </w:rPr>
      </w:r>
      <w:r w:rsidR="002A0DAC">
        <w:rPr>
          <w:rFonts w:ascii="Arial" w:hAnsi="Arial" w:cs="Arial"/>
        </w:rPr>
        <w:fldChar w:fldCharType="separate"/>
      </w:r>
      <w:r w:rsidR="00A85257">
        <w:rPr>
          <w:rStyle w:val="Hyperlink"/>
          <w:rFonts w:ascii="Arial" w:hAnsi="Arial" w:cs="Arial"/>
        </w:rPr>
        <w:t>draft agenda for the meeting of 21 May.</w:t>
      </w:r>
    </w:p>
    <w:p w14:paraId="59B7E68D" w14:textId="128E98AF" w:rsidR="00C86C1E" w:rsidRDefault="002A0DAC" w:rsidP="00004E13">
      <w:pPr>
        <w:spacing w:after="0" w:line="240" w:lineRule="auto"/>
        <w:rPr>
          <w:rFonts w:ascii="Arial" w:hAnsi="Arial" w:cs="Arial"/>
        </w:rPr>
      </w:pPr>
      <w:r>
        <w:rPr>
          <w:rFonts w:ascii="Arial" w:hAnsi="Arial" w:cs="Arial"/>
        </w:rPr>
        <w:fldChar w:fldCharType="end"/>
      </w:r>
    </w:p>
    <w:p w14:paraId="1D7FF3E8" w14:textId="2A58FC19" w:rsidR="00FC44C3" w:rsidRPr="00BF5645" w:rsidRDefault="00FC44C3" w:rsidP="00FC44C3">
      <w:pPr>
        <w:pStyle w:val="ListParagraph"/>
        <w:numPr>
          <w:ilvl w:val="0"/>
          <w:numId w:val="18"/>
        </w:numPr>
        <w:spacing w:after="0" w:line="240" w:lineRule="auto"/>
        <w:rPr>
          <w:rFonts w:ascii="Arial" w:hAnsi="Arial" w:cs="Arial"/>
          <w:b/>
          <w:bCs/>
        </w:rPr>
      </w:pPr>
      <w:r w:rsidRPr="00BF5645">
        <w:rPr>
          <w:rFonts w:ascii="Arial" w:hAnsi="Arial" w:cs="Arial"/>
          <w:b/>
          <w:bCs/>
        </w:rPr>
        <w:t>Business Licensing</w:t>
      </w:r>
    </w:p>
    <w:p w14:paraId="03410BD7" w14:textId="77777777" w:rsidR="00BF5645" w:rsidRDefault="00BF5645" w:rsidP="00BF5645">
      <w:pPr>
        <w:pStyle w:val="ListParagraph"/>
        <w:spacing w:after="0" w:line="240" w:lineRule="auto"/>
        <w:rPr>
          <w:rFonts w:ascii="Arial" w:hAnsi="Arial" w:cs="Arial"/>
        </w:rPr>
      </w:pPr>
    </w:p>
    <w:p w14:paraId="6CF6E9C4" w14:textId="6E66BA80" w:rsidR="00BF5645" w:rsidRDefault="00BF5645" w:rsidP="006C449A">
      <w:pPr>
        <w:spacing w:after="0" w:line="240" w:lineRule="auto"/>
        <w:jc w:val="both"/>
        <w:rPr>
          <w:rFonts w:ascii="Arial" w:hAnsi="Arial" w:cs="Arial"/>
        </w:rPr>
      </w:pPr>
      <w:hyperlink r:id="rId8" w:history="1">
        <w:r w:rsidRPr="00BF5645">
          <w:rPr>
            <w:rStyle w:val="Hyperlink"/>
            <w:rFonts w:ascii="Arial" w:hAnsi="Arial" w:cs="Arial"/>
            <w:i/>
            <w:iCs/>
          </w:rPr>
          <w:t>Jessie Fung</w:t>
        </w:r>
      </w:hyperlink>
      <w:r w:rsidRPr="00BF5645">
        <w:rPr>
          <w:rFonts w:ascii="Arial" w:hAnsi="Arial" w:cs="Arial"/>
        </w:rPr>
        <w:t>, NLA</w:t>
      </w:r>
      <w:r w:rsidR="006C449A">
        <w:rPr>
          <w:rFonts w:ascii="Arial" w:hAnsi="Arial" w:cs="Arial"/>
        </w:rPr>
        <w:t>,</w:t>
      </w:r>
      <w:r w:rsidRPr="00BF5645">
        <w:rPr>
          <w:rFonts w:ascii="Arial" w:hAnsi="Arial" w:cs="Arial"/>
        </w:rPr>
        <w:t xml:space="preserve"> </w:t>
      </w:r>
      <w:r w:rsidR="00F90900" w:rsidRPr="00F90900">
        <w:rPr>
          <w:rFonts w:ascii="Arial" w:hAnsi="Arial" w:cs="Arial"/>
        </w:rPr>
        <w:t>provided an overview of the business licensing models used by NLA. She outlined the main MMO licences, which cover various formats including print, electronic, database, e-clips, and web database. She also presented the organisation’s end-use licensing models, which include the Business Licence, Simplified Licence, Web End User Licence, and Corporate Website Republishing Licence.</w:t>
      </w:r>
    </w:p>
    <w:p w14:paraId="23341079" w14:textId="77777777" w:rsidR="00BF5645" w:rsidRPr="00547B15" w:rsidRDefault="00BF5645" w:rsidP="00547B15">
      <w:pPr>
        <w:spacing w:after="0" w:line="240" w:lineRule="auto"/>
        <w:rPr>
          <w:rFonts w:ascii="Arial" w:hAnsi="Arial" w:cs="Arial"/>
          <w:lang w:val="en-US"/>
        </w:rPr>
      </w:pPr>
    </w:p>
    <w:p w14:paraId="7ED6FB76" w14:textId="51FA2DE3" w:rsidR="00FC44C3" w:rsidRPr="00785F4C" w:rsidRDefault="00FC44C3" w:rsidP="00F90900">
      <w:pPr>
        <w:pStyle w:val="ListParagraph"/>
        <w:numPr>
          <w:ilvl w:val="0"/>
          <w:numId w:val="18"/>
        </w:numPr>
        <w:spacing w:after="0" w:line="240" w:lineRule="auto"/>
        <w:rPr>
          <w:rFonts w:ascii="Arial" w:hAnsi="Arial" w:cs="Arial"/>
          <w:b/>
          <w:bCs/>
          <w:lang w:val="en-US"/>
        </w:rPr>
      </w:pPr>
      <w:r w:rsidRPr="00785F4C">
        <w:rPr>
          <w:rFonts w:ascii="Arial" w:hAnsi="Arial" w:cs="Arial"/>
          <w:b/>
          <w:bCs/>
        </w:rPr>
        <w:t>UK Developments: Proposed opt-out regime and Data (Use and Access) Bill</w:t>
      </w:r>
    </w:p>
    <w:p w14:paraId="32C9D03E" w14:textId="77777777" w:rsidR="00F90900" w:rsidRPr="00F90900" w:rsidRDefault="00F90900" w:rsidP="00F90900">
      <w:pPr>
        <w:spacing w:after="0" w:line="240" w:lineRule="auto"/>
        <w:jc w:val="both"/>
        <w:rPr>
          <w:rFonts w:ascii="Arial" w:hAnsi="Arial" w:cs="Arial"/>
          <w:lang w:val="en-US"/>
        </w:rPr>
      </w:pPr>
    </w:p>
    <w:p w14:paraId="7A5D9847" w14:textId="7A628930" w:rsidR="00F90900" w:rsidRDefault="00BF5645" w:rsidP="00785F4C">
      <w:pPr>
        <w:spacing w:after="0" w:line="240" w:lineRule="auto"/>
        <w:jc w:val="both"/>
        <w:rPr>
          <w:rFonts w:ascii="Arial" w:hAnsi="Arial" w:cs="Arial"/>
          <w:lang w:val="en-BE"/>
        </w:rPr>
      </w:pPr>
      <w:hyperlink r:id="rId9" w:history="1">
        <w:r w:rsidRPr="00F90900">
          <w:rPr>
            <w:rStyle w:val="Hyperlink"/>
            <w:rFonts w:ascii="Arial" w:hAnsi="Arial" w:cs="Arial"/>
            <w:i/>
            <w:iCs/>
            <w:lang w:val="en-US"/>
          </w:rPr>
          <w:t>Will Crook</w:t>
        </w:r>
      </w:hyperlink>
      <w:r w:rsidRPr="00F90900">
        <w:rPr>
          <w:rFonts w:ascii="Arial" w:hAnsi="Arial" w:cs="Arial"/>
          <w:i/>
          <w:iCs/>
          <w:lang w:val="en-US"/>
        </w:rPr>
        <w:t>,</w:t>
      </w:r>
      <w:r w:rsidRPr="00F90900">
        <w:rPr>
          <w:rFonts w:ascii="Arial" w:hAnsi="Arial" w:cs="Arial"/>
          <w:lang w:val="en-US"/>
        </w:rPr>
        <w:t xml:space="preserve"> PLS, </w:t>
      </w:r>
      <w:r w:rsidR="00F90900" w:rsidRPr="00F90900">
        <w:rPr>
          <w:rFonts w:ascii="Arial" w:hAnsi="Arial" w:cs="Arial"/>
          <w:lang w:val="en-BE"/>
        </w:rPr>
        <w:t xml:space="preserve">delivered an update on AI developments in the UK. He referred to the commitments made by successive governments concerning the copyright sector, and he elaborated on the consultation launched by the UK government earlier this year on the proposed text and data mining (TDM) exception. He also referenced other key initiatives, such as the AI Opportunities Action Plan, and highlighted the strong parliamentary support for the creative sector. He outlined ongoing efforts under the Make It Fair campaign and provided an update on the </w:t>
      </w:r>
      <w:proofErr w:type="gramStart"/>
      <w:r w:rsidR="00F90900" w:rsidRPr="00F90900">
        <w:rPr>
          <w:rFonts w:ascii="Arial" w:hAnsi="Arial" w:cs="Arial"/>
          <w:lang w:val="en-BE"/>
        </w:rPr>
        <w:t>current status</w:t>
      </w:r>
      <w:proofErr w:type="gramEnd"/>
      <w:r w:rsidR="00F90900" w:rsidRPr="00F90900">
        <w:rPr>
          <w:rFonts w:ascii="Arial" w:hAnsi="Arial" w:cs="Arial"/>
          <w:lang w:val="en-BE"/>
        </w:rPr>
        <w:t xml:space="preserve"> of the Data Use and Access Bill, including expected next steps.</w:t>
      </w:r>
    </w:p>
    <w:p w14:paraId="21552C0D" w14:textId="77777777" w:rsidR="00547B15" w:rsidRDefault="00547B15" w:rsidP="00785F4C">
      <w:pPr>
        <w:spacing w:after="0" w:line="240" w:lineRule="auto"/>
        <w:jc w:val="both"/>
        <w:rPr>
          <w:rFonts w:ascii="Arial" w:hAnsi="Arial" w:cs="Arial"/>
          <w:lang w:val="en-BE"/>
        </w:rPr>
      </w:pPr>
    </w:p>
    <w:p w14:paraId="6E2A77B9" w14:textId="14EAA569" w:rsidR="00547B15" w:rsidRPr="00547B15" w:rsidRDefault="00547B15" w:rsidP="00547B15">
      <w:pPr>
        <w:pStyle w:val="ListParagraph"/>
        <w:numPr>
          <w:ilvl w:val="0"/>
          <w:numId w:val="18"/>
        </w:numPr>
        <w:spacing w:after="0" w:line="240" w:lineRule="auto"/>
        <w:rPr>
          <w:rFonts w:ascii="Arial" w:hAnsi="Arial" w:cs="Arial"/>
          <w:b/>
          <w:bCs/>
          <w:lang w:val="en-US"/>
        </w:rPr>
      </w:pPr>
      <w:r w:rsidRPr="00547B15">
        <w:rPr>
          <w:rFonts w:ascii="Arial" w:hAnsi="Arial" w:cs="Arial"/>
          <w:b/>
          <w:bCs/>
        </w:rPr>
        <w:t xml:space="preserve">Licensing platforms and Press Publishers Right developments </w:t>
      </w:r>
    </w:p>
    <w:p w14:paraId="6E3FF1B6" w14:textId="77777777" w:rsidR="00547B15" w:rsidRDefault="00547B15" w:rsidP="00547B15">
      <w:pPr>
        <w:spacing w:after="0" w:line="240" w:lineRule="auto"/>
        <w:ind w:left="360"/>
        <w:rPr>
          <w:rFonts w:ascii="Arial" w:hAnsi="Arial" w:cs="Arial"/>
          <w:lang w:val="en-US"/>
        </w:rPr>
      </w:pPr>
    </w:p>
    <w:p w14:paraId="2628C217" w14:textId="77777777" w:rsidR="00547B15" w:rsidRPr="00785F4C" w:rsidRDefault="00547B15" w:rsidP="00547B15">
      <w:pPr>
        <w:spacing w:after="0" w:line="240" w:lineRule="auto"/>
        <w:jc w:val="both"/>
        <w:rPr>
          <w:rFonts w:ascii="Arial" w:hAnsi="Arial" w:cs="Arial"/>
          <w:lang w:val="en-BE"/>
        </w:rPr>
      </w:pPr>
      <w:hyperlink r:id="rId10" w:tgtFrame="_blank" w:history="1">
        <w:r w:rsidRPr="00785F4C">
          <w:rPr>
            <w:rStyle w:val="Hyperlink"/>
            <w:rFonts w:ascii="Arial" w:hAnsi="Arial" w:cs="Arial"/>
            <w:i/>
            <w:iCs/>
            <w:lang w:val="en-BE"/>
          </w:rPr>
          <w:t>Andrew Hughes</w:t>
        </w:r>
        <w:r w:rsidRPr="00785F4C">
          <w:rPr>
            <w:rStyle w:val="Hyperlink"/>
            <w:rFonts w:ascii="Arial" w:hAnsi="Arial" w:cs="Arial"/>
            <w:lang w:val="en-BE"/>
          </w:rPr>
          <w:t>, PDLN </w:t>
        </w:r>
      </w:hyperlink>
      <w:r w:rsidRPr="00785F4C">
        <w:rPr>
          <w:rFonts w:ascii="Arial" w:hAnsi="Arial" w:cs="Arial"/>
          <w:lang w:val="en-US"/>
        </w:rPr>
        <w:t xml:space="preserve">, </w:t>
      </w:r>
      <w:r>
        <w:rPr>
          <w:rFonts w:ascii="Arial" w:hAnsi="Arial" w:cs="Arial"/>
        </w:rPr>
        <w:t>presented</w:t>
      </w:r>
      <w:r w:rsidRPr="00785F4C">
        <w:rPr>
          <w:rFonts w:ascii="Arial" w:hAnsi="Arial" w:cs="Arial"/>
        </w:rPr>
        <w:t xml:space="preserve"> the key challenges surrounding the Press Publisher’s Right (PPR), highlighting its limited revenue impact due to fragmented implementation, strong platform resistance, and lack of collective publisher action. He </w:t>
      </w:r>
      <w:r>
        <w:rPr>
          <w:rFonts w:ascii="Arial" w:hAnsi="Arial" w:cs="Arial"/>
        </w:rPr>
        <w:t>emphasised the need for unified rights utilisation</w:t>
      </w:r>
      <w:r w:rsidRPr="00785F4C">
        <w:rPr>
          <w:rFonts w:ascii="Arial" w:hAnsi="Arial" w:cs="Arial"/>
        </w:rPr>
        <w:t>, collective bargaining through CMOs, and strong government and competition authority support to make PPR effective. While early CMO activity across Europe shows some positive results, including licensing deals and new alliances, long-term success will depend on sustained collaboration and legal pressure against dominant tech platforms.</w:t>
      </w:r>
    </w:p>
    <w:p w14:paraId="04AAA049" w14:textId="77777777" w:rsidR="00547B15" w:rsidRDefault="00547B15" w:rsidP="00547B15">
      <w:pPr>
        <w:spacing w:after="0" w:line="240" w:lineRule="auto"/>
        <w:jc w:val="both"/>
        <w:rPr>
          <w:rFonts w:ascii="Arial" w:hAnsi="Arial" w:cs="Arial"/>
        </w:rPr>
      </w:pPr>
    </w:p>
    <w:p w14:paraId="20D3BF47" w14:textId="77777777" w:rsidR="00547B15" w:rsidRPr="00785F4C" w:rsidRDefault="00547B15" w:rsidP="00547B15">
      <w:pPr>
        <w:spacing w:after="0" w:line="240" w:lineRule="auto"/>
        <w:jc w:val="both"/>
        <w:rPr>
          <w:rFonts w:ascii="Arial" w:hAnsi="Arial" w:cs="Arial"/>
          <w:lang w:val="en-BE"/>
        </w:rPr>
      </w:pPr>
      <w:hyperlink r:id="rId11" w:tgtFrame="_blank" w:history="1">
        <w:r w:rsidRPr="00785F4C">
          <w:rPr>
            <w:rStyle w:val="Hyperlink"/>
            <w:rFonts w:ascii="Arial" w:hAnsi="Arial" w:cs="Arial"/>
            <w:i/>
            <w:iCs/>
            <w:lang w:val="en-BE"/>
          </w:rPr>
          <w:t>Mogens Blicher Bjerregård</w:t>
        </w:r>
        <w:r w:rsidRPr="00785F4C">
          <w:rPr>
            <w:rStyle w:val="Hyperlink"/>
            <w:rFonts w:ascii="Arial" w:hAnsi="Arial" w:cs="Arial"/>
            <w:lang w:val="en-BE"/>
          </w:rPr>
          <w:t>, EFJ</w:t>
        </w:r>
      </w:hyperlink>
      <w:r>
        <w:rPr>
          <w:rFonts w:ascii="Arial" w:hAnsi="Arial" w:cs="Arial"/>
          <w:lang w:val="en-BE"/>
        </w:rPr>
        <w:t>,</w:t>
      </w:r>
      <w:r>
        <w:rPr>
          <w:rFonts w:ascii="Arial" w:hAnsi="Arial" w:cs="Arial"/>
        </w:rPr>
        <w:t xml:space="preserve"> </w:t>
      </w:r>
      <w:r w:rsidRPr="00785F4C">
        <w:rPr>
          <w:rFonts w:ascii="Arial" w:hAnsi="Arial" w:cs="Arial"/>
        </w:rPr>
        <w:t>highlighted that journalists supported Article 15 of the DSM Directive on the condition that they receive a fair share of revenues, but a consistent European approach to implementing this has been lacking. While countries like France, Germany, and Slovenia have taken varying paths—ranging from negotiated agreements (e.g., 18–25% in France, VG Wort distribution in Germany) to legal mandates (e.g., 50% in Slovenia)—many publishers still resist meaningful revenue sharing. Ongoing CJEU cases in Belgium and Italy may have wide-reaching implications for both journalists and publishers across the EU.</w:t>
      </w:r>
    </w:p>
    <w:p w14:paraId="011DC566" w14:textId="77777777" w:rsidR="00547B15" w:rsidRPr="00785F4C" w:rsidRDefault="00547B15" w:rsidP="00785F4C">
      <w:pPr>
        <w:spacing w:after="0" w:line="240" w:lineRule="auto"/>
        <w:jc w:val="both"/>
        <w:rPr>
          <w:rFonts w:ascii="Arial" w:hAnsi="Arial" w:cs="Arial"/>
          <w:lang w:val="en-BE"/>
        </w:rPr>
      </w:pPr>
    </w:p>
    <w:p w14:paraId="51E5DD0A" w14:textId="77777777" w:rsidR="00F90900" w:rsidRPr="00F90900" w:rsidRDefault="00F90900" w:rsidP="00F90900">
      <w:pPr>
        <w:spacing w:after="0" w:line="240" w:lineRule="auto"/>
        <w:rPr>
          <w:rFonts w:ascii="Arial" w:hAnsi="Arial" w:cs="Arial"/>
          <w:lang w:val="en-US"/>
        </w:rPr>
      </w:pPr>
    </w:p>
    <w:p w14:paraId="66424DCB" w14:textId="514AA958" w:rsidR="00020244" w:rsidRDefault="00785F4C" w:rsidP="00547B15">
      <w:pPr>
        <w:pStyle w:val="ListParagraph"/>
        <w:numPr>
          <w:ilvl w:val="0"/>
          <w:numId w:val="18"/>
        </w:numPr>
        <w:spacing w:after="0" w:line="240" w:lineRule="auto"/>
        <w:rPr>
          <w:rFonts w:ascii="Arial" w:hAnsi="Arial" w:cs="Arial"/>
          <w:b/>
          <w:bCs/>
        </w:rPr>
      </w:pPr>
      <w:r w:rsidRPr="00785F4C">
        <w:rPr>
          <w:rFonts w:ascii="Arial" w:hAnsi="Arial" w:cs="Arial"/>
          <w:b/>
          <w:bCs/>
        </w:rPr>
        <w:t>Date and location next meeting</w:t>
      </w:r>
    </w:p>
    <w:p w14:paraId="6C8514E3" w14:textId="77777777" w:rsidR="00CA1173" w:rsidRPr="00785F4C" w:rsidRDefault="00CA1173" w:rsidP="00CA1173">
      <w:pPr>
        <w:pStyle w:val="ListParagraph"/>
        <w:spacing w:after="0" w:line="240" w:lineRule="auto"/>
        <w:rPr>
          <w:rFonts w:ascii="Arial" w:hAnsi="Arial" w:cs="Arial"/>
          <w:b/>
          <w:bCs/>
        </w:rPr>
      </w:pPr>
    </w:p>
    <w:p w14:paraId="2451FAFA" w14:textId="7582A701" w:rsidR="00864CC3" w:rsidRPr="00CE623F" w:rsidRDefault="009564C5" w:rsidP="00D81EE1">
      <w:pPr>
        <w:spacing w:after="0" w:line="240" w:lineRule="auto"/>
        <w:jc w:val="both"/>
        <w:rPr>
          <w:rFonts w:ascii="Arial" w:hAnsi="Arial" w:cs="Arial"/>
        </w:rPr>
      </w:pPr>
      <w:r w:rsidRPr="009564C5">
        <w:rPr>
          <w:rFonts w:ascii="Arial" w:hAnsi="Arial" w:cs="Arial"/>
        </w:rPr>
        <w:t xml:space="preserve">The Chair closed the meeting upon announcing that the next </w:t>
      </w:r>
      <w:r>
        <w:rPr>
          <w:rFonts w:ascii="Arial" w:hAnsi="Arial" w:cs="Arial"/>
        </w:rPr>
        <w:t>NPWG</w:t>
      </w:r>
      <w:r w:rsidRPr="009564C5">
        <w:rPr>
          <w:rFonts w:ascii="Arial" w:hAnsi="Arial" w:cs="Arial"/>
        </w:rPr>
        <w:t xml:space="preserve"> meeting would be in </w:t>
      </w:r>
      <w:r w:rsidR="00785F4C">
        <w:rPr>
          <w:rFonts w:ascii="Arial" w:hAnsi="Arial" w:cs="Arial"/>
        </w:rPr>
        <w:t>Singapore, on 30 October.</w:t>
      </w:r>
    </w:p>
    <w:sectPr w:rsidR="00864CC3" w:rsidRPr="00CE623F">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31576" w14:textId="77777777" w:rsidR="00E415B3" w:rsidRDefault="00E415B3" w:rsidP="00162C51">
      <w:pPr>
        <w:spacing w:after="0" w:line="240" w:lineRule="auto"/>
      </w:pPr>
      <w:r>
        <w:separator/>
      </w:r>
    </w:p>
  </w:endnote>
  <w:endnote w:type="continuationSeparator" w:id="0">
    <w:p w14:paraId="27E3B798" w14:textId="77777777" w:rsidR="00E415B3" w:rsidRDefault="00E415B3" w:rsidP="00162C51">
      <w:pPr>
        <w:spacing w:after="0" w:line="240" w:lineRule="auto"/>
      </w:pPr>
      <w:r>
        <w:continuationSeparator/>
      </w:r>
    </w:p>
  </w:endnote>
  <w:endnote w:type="continuationNotice" w:id="1">
    <w:p w14:paraId="3A02DAAA" w14:textId="77777777" w:rsidR="00E415B3" w:rsidRDefault="00E415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223924"/>
      <w:docPartObj>
        <w:docPartGallery w:val="Page Numbers (Bottom of Page)"/>
        <w:docPartUnique/>
      </w:docPartObj>
    </w:sdtPr>
    <w:sdtEndPr>
      <w:rPr>
        <w:noProof/>
      </w:rPr>
    </w:sdtEndPr>
    <w:sdtContent>
      <w:p w14:paraId="0702F8AD" w14:textId="0889DF6C" w:rsidR="00162C51" w:rsidRDefault="00162C5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100881" w14:textId="77777777" w:rsidR="00162C51" w:rsidRDefault="00162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AE4B1" w14:textId="77777777" w:rsidR="00E415B3" w:rsidRDefault="00E415B3" w:rsidP="00162C51">
      <w:pPr>
        <w:spacing w:after="0" w:line="240" w:lineRule="auto"/>
      </w:pPr>
      <w:r>
        <w:separator/>
      </w:r>
    </w:p>
  </w:footnote>
  <w:footnote w:type="continuationSeparator" w:id="0">
    <w:p w14:paraId="218518E4" w14:textId="77777777" w:rsidR="00E415B3" w:rsidRDefault="00E415B3" w:rsidP="00162C51">
      <w:pPr>
        <w:spacing w:after="0" w:line="240" w:lineRule="auto"/>
      </w:pPr>
      <w:r>
        <w:continuationSeparator/>
      </w:r>
    </w:p>
  </w:footnote>
  <w:footnote w:type="continuationNotice" w:id="1">
    <w:p w14:paraId="6CDD9969" w14:textId="77777777" w:rsidR="00E415B3" w:rsidRDefault="00E415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5B3D7" w14:textId="61949BCE" w:rsidR="00DB3076" w:rsidRDefault="00DB3076">
    <w:pPr>
      <w:pStyle w:val="Header"/>
    </w:pPr>
    <w:r>
      <w:rPr>
        <w:noProof/>
      </w:rPr>
      <w:drawing>
        <wp:inline distT="0" distB="0" distL="0" distR="0" wp14:anchorId="1D2A1ADC" wp14:editId="73552869">
          <wp:extent cx="1162050" cy="627266"/>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789" cy="6379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A0846"/>
    <w:multiLevelType w:val="multilevel"/>
    <w:tmpl w:val="1FB6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CD0635"/>
    <w:multiLevelType w:val="hybridMultilevel"/>
    <w:tmpl w:val="2DC8CE5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4E82EF1"/>
    <w:multiLevelType w:val="hybridMultilevel"/>
    <w:tmpl w:val="072ED68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E832F1C"/>
    <w:multiLevelType w:val="multilevel"/>
    <w:tmpl w:val="F3B05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3813C0"/>
    <w:multiLevelType w:val="multilevel"/>
    <w:tmpl w:val="BBE01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A810EB"/>
    <w:multiLevelType w:val="hybridMultilevel"/>
    <w:tmpl w:val="6B7A9B4A"/>
    <w:lvl w:ilvl="0" w:tplc="050E39D8">
      <w:start w:val="1"/>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F690B09"/>
    <w:multiLevelType w:val="hybridMultilevel"/>
    <w:tmpl w:val="FF4EFD36"/>
    <w:lvl w:ilvl="0" w:tplc="C1B4BD34">
      <w:start w:val="1"/>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30171318"/>
    <w:multiLevelType w:val="multilevel"/>
    <w:tmpl w:val="46800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92108"/>
    <w:multiLevelType w:val="multilevel"/>
    <w:tmpl w:val="EB90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F12536"/>
    <w:multiLevelType w:val="multilevel"/>
    <w:tmpl w:val="7DE2B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D6582C"/>
    <w:multiLevelType w:val="hybridMultilevel"/>
    <w:tmpl w:val="A43E496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5806F92"/>
    <w:multiLevelType w:val="hybridMultilevel"/>
    <w:tmpl w:val="6B7A9B4A"/>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F357B5F"/>
    <w:multiLevelType w:val="hybridMultilevel"/>
    <w:tmpl w:val="81A06C2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03B1ADD"/>
    <w:multiLevelType w:val="multilevel"/>
    <w:tmpl w:val="98EE7D1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53DB32B0"/>
    <w:multiLevelType w:val="hybridMultilevel"/>
    <w:tmpl w:val="AC781772"/>
    <w:lvl w:ilvl="0" w:tplc="20000001">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15" w15:restartNumberingAfterBreak="0">
    <w:nsid w:val="54947402"/>
    <w:multiLevelType w:val="multilevel"/>
    <w:tmpl w:val="976CAF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54C26160"/>
    <w:multiLevelType w:val="multilevel"/>
    <w:tmpl w:val="BA6E7B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5EE250CB"/>
    <w:multiLevelType w:val="multilevel"/>
    <w:tmpl w:val="5E2C33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69861974"/>
    <w:multiLevelType w:val="hybridMultilevel"/>
    <w:tmpl w:val="6B284A1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70862427"/>
    <w:multiLevelType w:val="multilevel"/>
    <w:tmpl w:val="5C8E4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564E68"/>
    <w:multiLevelType w:val="multilevel"/>
    <w:tmpl w:val="657A8CA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110661339">
    <w:abstractNumId w:val="1"/>
  </w:num>
  <w:num w:numId="2" w16cid:durableId="1959677474">
    <w:abstractNumId w:val="9"/>
  </w:num>
  <w:num w:numId="3" w16cid:durableId="1765878406">
    <w:abstractNumId w:val="0"/>
  </w:num>
  <w:num w:numId="4" w16cid:durableId="845752670">
    <w:abstractNumId w:val="3"/>
  </w:num>
  <w:num w:numId="5" w16cid:durableId="877861685">
    <w:abstractNumId w:val="10"/>
  </w:num>
  <w:num w:numId="6" w16cid:durableId="831482621">
    <w:abstractNumId w:val="14"/>
  </w:num>
  <w:num w:numId="7" w16cid:durableId="946548431">
    <w:abstractNumId w:val="10"/>
  </w:num>
  <w:num w:numId="8" w16cid:durableId="1260483268">
    <w:abstractNumId w:val="17"/>
  </w:num>
  <w:num w:numId="9" w16cid:durableId="1161777817">
    <w:abstractNumId w:val="15"/>
  </w:num>
  <w:num w:numId="10" w16cid:durableId="1455715225">
    <w:abstractNumId w:val="20"/>
  </w:num>
  <w:num w:numId="11" w16cid:durableId="1920630155">
    <w:abstractNumId w:val="13"/>
  </w:num>
  <w:num w:numId="12" w16cid:durableId="1421828695">
    <w:abstractNumId w:val="16"/>
  </w:num>
  <w:num w:numId="13" w16cid:durableId="1386569006">
    <w:abstractNumId w:val="4"/>
  </w:num>
  <w:num w:numId="14" w16cid:durableId="1034620508">
    <w:abstractNumId w:val="8"/>
  </w:num>
  <w:num w:numId="15" w16cid:durableId="820273407">
    <w:abstractNumId w:val="6"/>
  </w:num>
  <w:num w:numId="16" w16cid:durableId="1789927742">
    <w:abstractNumId w:val="12"/>
  </w:num>
  <w:num w:numId="17" w16cid:durableId="641614203">
    <w:abstractNumId w:val="18"/>
  </w:num>
  <w:num w:numId="18" w16cid:durableId="2118018388">
    <w:abstractNumId w:val="5"/>
  </w:num>
  <w:num w:numId="19" w16cid:durableId="2125268445">
    <w:abstractNumId w:val="2"/>
  </w:num>
  <w:num w:numId="20" w16cid:durableId="1477991602">
    <w:abstractNumId w:val="19"/>
  </w:num>
  <w:num w:numId="21" w16cid:durableId="1213688878">
    <w:abstractNumId w:val="7"/>
  </w:num>
  <w:num w:numId="22" w16cid:durableId="2176732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F6B"/>
    <w:rsid w:val="00004E13"/>
    <w:rsid w:val="00005B85"/>
    <w:rsid w:val="0000765A"/>
    <w:rsid w:val="00012BA7"/>
    <w:rsid w:val="00016533"/>
    <w:rsid w:val="00020244"/>
    <w:rsid w:val="00020AE0"/>
    <w:rsid w:val="000216B2"/>
    <w:rsid w:val="00023FF9"/>
    <w:rsid w:val="00035AB5"/>
    <w:rsid w:val="000407FD"/>
    <w:rsid w:val="00043A4B"/>
    <w:rsid w:val="00044188"/>
    <w:rsid w:val="00053E9D"/>
    <w:rsid w:val="00057272"/>
    <w:rsid w:val="00061CAC"/>
    <w:rsid w:val="00067719"/>
    <w:rsid w:val="00072530"/>
    <w:rsid w:val="000775DD"/>
    <w:rsid w:val="0008504F"/>
    <w:rsid w:val="00094A8E"/>
    <w:rsid w:val="000A128F"/>
    <w:rsid w:val="000B1594"/>
    <w:rsid w:val="000B6CFF"/>
    <w:rsid w:val="000B7CDE"/>
    <w:rsid w:val="000E02D6"/>
    <w:rsid w:val="000E75B6"/>
    <w:rsid w:val="00116B85"/>
    <w:rsid w:val="00126F06"/>
    <w:rsid w:val="00127C6C"/>
    <w:rsid w:val="00162C51"/>
    <w:rsid w:val="001647A8"/>
    <w:rsid w:val="001669C7"/>
    <w:rsid w:val="00175B16"/>
    <w:rsid w:val="001777EB"/>
    <w:rsid w:val="00180D64"/>
    <w:rsid w:val="00190D41"/>
    <w:rsid w:val="00191532"/>
    <w:rsid w:val="001D4195"/>
    <w:rsid w:val="001D4872"/>
    <w:rsid w:val="001D7679"/>
    <w:rsid w:val="001E0C16"/>
    <w:rsid w:val="001E3111"/>
    <w:rsid w:val="001E3E88"/>
    <w:rsid w:val="0021073A"/>
    <w:rsid w:val="00214536"/>
    <w:rsid w:val="00256446"/>
    <w:rsid w:val="002666D9"/>
    <w:rsid w:val="0027447B"/>
    <w:rsid w:val="002812A7"/>
    <w:rsid w:val="00286DD5"/>
    <w:rsid w:val="002A0DAC"/>
    <w:rsid w:val="002B08CE"/>
    <w:rsid w:val="002D7ACD"/>
    <w:rsid w:val="002E5484"/>
    <w:rsid w:val="002E5770"/>
    <w:rsid w:val="002F4122"/>
    <w:rsid w:val="00313285"/>
    <w:rsid w:val="00340607"/>
    <w:rsid w:val="003603A6"/>
    <w:rsid w:val="00374A33"/>
    <w:rsid w:val="003804E5"/>
    <w:rsid w:val="003A1F3A"/>
    <w:rsid w:val="003A2126"/>
    <w:rsid w:val="003B166D"/>
    <w:rsid w:val="003C3F6B"/>
    <w:rsid w:val="003E28EA"/>
    <w:rsid w:val="003F1E77"/>
    <w:rsid w:val="003F2ECC"/>
    <w:rsid w:val="0040002A"/>
    <w:rsid w:val="00400A3D"/>
    <w:rsid w:val="0040314B"/>
    <w:rsid w:val="00411E8F"/>
    <w:rsid w:val="00413581"/>
    <w:rsid w:val="00420CC5"/>
    <w:rsid w:val="00427A6A"/>
    <w:rsid w:val="004464C7"/>
    <w:rsid w:val="00446C2A"/>
    <w:rsid w:val="00447FE3"/>
    <w:rsid w:val="00457739"/>
    <w:rsid w:val="00457CDF"/>
    <w:rsid w:val="00490611"/>
    <w:rsid w:val="00490EE7"/>
    <w:rsid w:val="00493333"/>
    <w:rsid w:val="004B6CF0"/>
    <w:rsid w:val="004C0D5D"/>
    <w:rsid w:val="004C4431"/>
    <w:rsid w:val="004D084B"/>
    <w:rsid w:val="004D1B9F"/>
    <w:rsid w:val="004E4D19"/>
    <w:rsid w:val="004F1A5D"/>
    <w:rsid w:val="00501663"/>
    <w:rsid w:val="0051035E"/>
    <w:rsid w:val="00516FB0"/>
    <w:rsid w:val="005463E1"/>
    <w:rsid w:val="005465FD"/>
    <w:rsid w:val="00547B15"/>
    <w:rsid w:val="00566066"/>
    <w:rsid w:val="00572B36"/>
    <w:rsid w:val="00585AF3"/>
    <w:rsid w:val="005A5EAD"/>
    <w:rsid w:val="005F411B"/>
    <w:rsid w:val="00601C36"/>
    <w:rsid w:val="00605C54"/>
    <w:rsid w:val="0063619E"/>
    <w:rsid w:val="0064140E"/>
    <w:rsid w:val="00667264"/>
    <w:rsid w:val="00671904"/>
    <w:rsid w:val="006B717B"/>
    <w:rsid w:val="006C2487"/>
    <w:rsid w:val="006C4188"/>
    <w:rsid w:val="006C449A"/>
    <w:rsid w:val="006E141D"/>
    <w:rsid w:val="00724E3A"/>
    <w:rsid w:val="00725B10"/>
    <w:rsid w:val="00737BF4"/>
    <w:rsid w:val="007764FA"/>
    <w:rsid w:val="00776E17"/>
    <w:rsid w:val="00785F4C"/>
    <w:rsid w:val="00787E5C"/>
    <w:rsid w:val="00797E51"/>
    <w:rsid w:val="007A666A"/>
    <w:rsid w:val="007C6E15"/>
    <w:rsid w:val="007D2D25"/>
    <w:rsid w:val="007E0407"/>
    <w:rsid w:val="007E40FC"/>
    <w:rsid w:val="007E64B2"/>
    <w:rsid w:val="008074EA"/>
    <w:rsid w:val="00807EEE"/>
    <w:rsid w:val="0082695F"/>
    <w:rsid w:val="0083570D"/>
    <w:rsid w:val="00841CF5"/>
    <w:rsid w:val="00863FAE"/>
    <w:rsid w:val="00864CC3"/>
    <w:rsid w:val="00871F54"/>
    <w:rsid w:val="00873C4D"/>
    <w:rsid w:val="0087708F"/>
    <w:rsid w:val="00880AAF"/>
    <w:rsid w:val="00887A7B"/>
    <w:rsid w:val="008C578C"/>
    <w:rsid w:val="008C76DD"/>
    <w:rsid w:val="008D3536"/>
    <w:rsid w:val="008D3EB4"/>
    <w:rsid w:val="008E16A5"/>
    <w:rsid w:val="009003ED"/>
    <w:rsid w:val="009042C7"/>
    <w:rsid w:val="00904DC1"/>
    <w:rsid w:val="00906A04"/>
    <w:rsid w:val="00913EB0"/>
    <w:rsid w:val="00917BFB"/>
    <w:rsid w:val="009332B2"/>
    <w:rsid w:val="00935AA3"/>
    <w:rsid w:val="009564C5"/>
    <w:rsid w:val="00963FA0"/>
    <w:rsid w:val="00973336"/>
    <w:rsid w:val="00977053"/>
    <w:rsid w:val="0099334A"/>
    <w:rsid w:val="00997983"/>
    <w:rsid w:val="009A446A"/>
    <w:rsid w:val="009C052D"/>
    <w:rsid w:val="009C375E"/>
    <w:rsid w:val="009C4BBA"/>
    <w:rsid w:val="009E1C15"/>
    <w:rsid w:val="009E4C4A"/>
    <w:rsid w:val="009F387C"/>
    <w:rsid w:val="00A1103C"/>
    <w:rsid w:val="00A112DF"/>
    <w:rsid w:val="00A26ED5"/>
    <w:rsid w:val="00A353E4"/>
    <w:rsid w:val="00A63019"/>
    <w:rsid w:val="00A658BF"/>
    <w:rsid w:val="00A677A5"/>
    <w:rsid w:val="00A821AC"/>
    <w:rsid w:val="00A85257"/>
    <w:rsid w:val="00A852D0"/>
    <w:rsid w:val="00A90FE3"/>
    <w:rsid w:val="00A93FE8"/>
    <w:rsid w:val="00AA31B5"/>
    <w:rsid w:val="00AC3589"/>
    <w:rsid w:val="00AD6467"/>
    <w:rsid w:val="00B10E83"/>
    <w:rsid w:val="00B24F85"/>
    <w:rsid w:val="00B30508"/>
    <w:rsid w:val="00B3151B"/>
    <w:rsid w:val="00B4081E"/>
    <w:rsid w:val="00B675DB"/>
    <w:rsid w:val="00B87294"/>
    <w:rsid w:val="00B97537"/>
    <w:rsid w:val="00BE0A76"/>
    <w:rsid w:val="00BF1108"/>
    <w:rsid w:val="00BF5645"/>
    <w:rsid w:val="00C10616"/>
    <w:rsid w:val="00C15042"/>
    <w:rsid w:val="00C15601"/>
    <w:rsid w:val="00C41003"/>
    <w:rsid w:val="00C750C3"/>
    <w:rsid w:val="00C86C1E"/>
    <w:rsid w:val="00C9139F"/>
    <w:rsid w:val="00C92406"/>
    <w:rsid w:val="00CA1173"/>
    <w:rsid w:val="00CA1730"/>
    <w:rsid w:val="00CB7B8F"/>
    <w:rsid w:val="00CC44FF"/>
    <w:rsid w:val="00CD138A"/>
    <w:rsid w:val="00CE0EA9"/>
    <w:rsid w:val="00CE623F"/>
    <w:rsid w:val="00D010A4"/>
    <w:rsid w:val="00D06C93"/>
    <w:rsid w:val="00D1063E"/>
    <w:rsid w:val="00D1376B"/>
    <w:rsid w:val="00D17C27"/>
    <w:rsid w:val="00D7423B"/>
    <w:rsid w:val="00D81EE1"/>
    <w:rsid w:val="00D92D8B"/>
    <w:rsid w:val="00D94D19"/>
    <w:rsid w:val="00DA3B68"/>
    <w:rsid w:val="00DB3076"/>
    <w:rsid w:val="00DB7116"/>
    <w:rsid w:val="00DC1978"/>
    <w:rsid w:val="00DD238C"/>
    <w:rsid w:val="00DE7EED"/>
    <w:rsid w:val="00DF306D"/>
    <w:rsid w:val="00E03CB4"/>
    <w:rsid w:val="00E415B3"/>
    <w:rsid w:val="00E70E89"/>
    <w:rsid w:val="00E72E4E"/>
    <w:rsid w:val="00E86888"/>
    <w:rsid w:val="00E86E6D"/>
    <w:rsid w:val="00E91625"/>
    <w:rsid w:val="00E921CC"/>
    <w:rsid w:val="00E95F59"/>
    <w:rsid w:val="00EA5EB2"/>
    <w:rsid w:val="00EC52D8"/>
    <w:rsid w:val="00EF4B32"/>
    <w:rsid w:val="00EF630A"/>
    <w:rsid w:val="00F02A2C"/>
    <w:rsid w:val="00F06471"/>
    <w:rsid w:val="00F164A7"/>
    <w:rsid w:val="00F34EF2"/>
    <w:rsid w:val="00F70584"/>
    <w:rsid w:val="00F767B4"/>
    <w:rsid w:val="00F90900"/>
    <w:rsid w:val="00F966E4"/>
    <w:rsid w:val="00FA361F"/>
    <w:rsid w:val="00FA7DDF"/>
    <w:rsid w:val="00FC44C3"/>
    <w:rsid w:val="00FC4512"/>
    <w:rsid w:val="00FF53A4"/>
    <w:rsid w:val="00FF6CB8"/>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E84E15"/>
  <w15:chartTrackingRefBased/>
  <w15:docId w15:val="{66C69739-A4D7-4527-9E3E-5C6D47D58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4E13"/>
    <w:rPr>
      <w:color w:val="0563C1" w:themeColor="hyperlink"/>
      <w:u w:val="single"/>
    </w:rPr>
  </w:style>
  <w:style w:type="character" w:styleId="UnresolvedMention">
    <w:name w:val="Unresolved Mention"/>
    <w:basedOn w:val="DefaultParagraphFont"/>
    <w:uiPriority w:val="99"/>
    <w:semiHidden/>
    <w:unhideWhenUsed/>
    <w:rsid w:val="00004E13"/>
    <w:rPr>
      <w:color w:val="605E5C"/>
      <w:shd w:val="clear" w:color="auto" w:fill="E1DFDD"/>
    </w:rPr>
  </w:style>
  <w:style w:type="paragraph" w:styleId="ListParagraph">
    <w:name w:val="List Paragraph"/>
    <w:basedOn w:val="Normal"/>
    <w:uiPriority w:val="34"/>
    <w:qFormat/>
    <w:rsid w:val="00004E13"/>
    <w:pPr>
      <w:ind w:left="720"/>
      <w:contextualSpacing/>
    </w:pPr>
  </w:style>
  <w:style w:type="character" w:styleId="FollowedHyperlink">
    <w:name w:val="FollowedHyperlink"/>
    <w:basedOn w:val="DefaultParagraphFont"/>
    <w:uiPriority w:val="99"/>
    <w:semiHidden/>
    <w:unhideWhenUsed/>
    <w:rsid w:val="00004E13"/>
    <w:rPr>
      <w:color w:val="954F72" w:themeColor="followedHyperlink"/>
      <w:u w:val="single"/>
    </w:rPr>
  </w:style>
  <w:style w:type="paragraph" w:styleId="Header">
    <w:name w:val="header"/>
    <w:basedOn w:val="Normal"/>
    <w:link w:val="HeaderChar"/>
    <w:uiPriority w:val="99"/>
    <w:unhideWhenUsed/>
    <w:rsid w:val="00162C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2C51"/>
    <w:rPr>
      <w:lang w:val="en-GB"/>
    </w:rPr>
  </w:style>
  <w:style w:type="paragraph" w:styleId="Footer">
    <w:name w:val="footer"/>
    <w:basedOn w:val="Normal"/>
    <w:link w:val="FooterChar"/>
    <w:uiPriority w:val="99"/>
    <w:unhideWhenUsed/>
    <w:rsid w:val="00162C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2C51"/>
    <w:rPr>
      <w:lang w:val="en-GB"/>
    </w:rPr>
  </w:style>
  <w:style w:type="paragraph" w:styleId="Revision">
    <w:name w:val="Revision"/>
    <w:hidden/>
    <w:uiPriority w:val="99"/>
    <w:semiHidden/>
    <w:rsid w:val="00F966E4"/>
    <w:pPr>
      <w:spacing w:after="0" w:line="240" w:lineRule="auto"/>
    </w:pPr>
    <w:rPr>
      <w:lang w:val="en-GB"/>
    </w:rPr>
  </w:style>
  <w:style w:type="character" w:styleId="CommentReference">
    <w:name w:val="annotation reference"/>
    <w:basedOn w:val="DefaultParagraphFont"/>
    <w:uiPriority w:val="99"/>
    <w:semiHidden/>
    <w:unhideWhenUsed/>
    <w:rsid w:val="00F966E4"/>
    <w:rPr>
      <w:sz w:val="16"/>
      <w:szCs w:val="16"/>
    </w:rPr>
  </w:style>
  <w:style w:type="paragraph" w:styleId="CommentText">
    <w:name w:val="annotation text"/>
    <w:basedOn w:val="Normal"/>
    <w:link w:val="CommentTextChar"/>
    <w:uiPriority w:val="99"/>
    <w:semiHidden/>
    <w:unhideWhenUsed/>
    <w:rsid w:val="00F966E4"/>
    <w:pPr>
      <w:spacing w:line="240" w:lineRule="auto"/>
    </w:pPr>
    <w:rPr>
      <w:sz w:val="20"/>
      <w:szCs w:val="20"/>
    </w:rPr>
  </w:style>
  <w:style w:type="character" w:customStyle="1" w:styleId="CommentTextChar">
    <w:name w:val="Comment Text Char"/>
    <w:basedOn w:val="DefaultParagraphFont"/>
    <w:link w:val="CommentText"/>
    <w:uiPriority w:val="99"/>
    <w:semiHidden/>
    <w:rsid w:val="00F966E4"/>
    <w:rPr>
      <w:sz w:val="20"/>
      <w:szCs w:val="20"/>
      <w:lang w:val="en-GB"/>
    </w:rPr>
  </w:style>
  <w:style w:type="paragraph" w:styleId="CommentSubject">
    <w:name w:val="annotation subject"/>
    <w:basedOn w:val="CommentText"/>
    <w:next w:val="CommentText"/>
    <w:link w:val="CommentSubjectChar"/>
    <w:uiPriority w:val="99"/>
    <w:semiHidden/>
    <w:unhideWhenUsed/>
    <w:rsid w:val="00F966E4"/>
    <w:rPr>
      <w:b/>
      <w:bCs/>
    </w:rPr>
  </w:style>
  <w:style w:type="character" w:customStyle="1" w:styleId="CommentSubjectChar">
    <w:name w:val="Comment Subject Char"/>
    <w:basedOn w:val="CommentTextChar"/>
    <w:link w:val="CommentSubject"/>
    <w:uiPriority w:val="99"/>
    <w:semiHidden/>
    <w:rsid w:val="00F966E4"/>
    <w:rPr>
      <w:b/>
      <w:bCs/>
      <w:sz w:val="20"/>
      <w:szCs w:val="20"/>
      <w:lang w:val="en-GB"/>
    </w:rPr>
  </w:style>
  <w:style w:type="paragraph" w:styleId="NormalWeb">
    <w:name w:val="Normal (Web)"/>
    <w:basedOn w:val="Normal"/>
    <w:uiPriority w:val="99"/>
    <w:semiHidden/>
    <w:unhideWhenUsed/>
    <w:rsid w:val="000407FD"/>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5660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066"/>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221650">
      <w:bodyDiv w:val="1"/>
      <w:marLeft w:val="0"/>
      <w:marRight w:val="0"/>
      <w:marTop w:val="0"/>
      <w:marBottom w:val="0"/>
      <w:divBdr>
        <w:top w:val="none" w:sz="0" w:space="0" w:color="auto"/>
        <w:left w:val="none" w:sz="0" w:space="0" w:color="auto"/>
        <w:bottom w:val="none" w:sz="0" w:space="0" w:color="auto"/>
        <w:right w:val="none" w:sz="0" w:space="0" w:color="auto"/>
      </w:divBdr>
    </w:div>
    <w:div w:id="474295240">
      <w:bodyDiv w:val="1"/>
      <w:marLeft w:val="0"/>
      <w:marRight w:val="0"/>
      <w:marTop w:val="0"/>
      <w:marBottom w:val="0"/>
      <w:divBdr>
        <w:top w:val="none" w:sz="0" w:space="0" w:color="auto"/>
        <w:left w:val="none" w:sz="0" w:space="0" w:color="auto"/>
        <w:bottom w:val="none" w:sz="0" w:space="0" w:color="auto"/>
        <w:right w:val="none" w:sz="0" w:space="0" w:color="auto"/>
      </w:divBdr>
    </w:div>
    <w:div w:id="553465129">
      <w:bodyDiv w:val="1"/>
      <w:marLeft w:val="0"/>
      <w:marRight w:val="0"/>
      <w:marTop w:val="0"/>
      <w:marBottom w:val="0"/>
      <w:divBdr>
        <w:top w:val="none" w:sz="0" w:space="0" w:color="auto"/>
        <w:left w:val="none" w:sz="0" w:space="0" w:color="auto"/>
        <w:bottom w:val="none" w:sz="0" w:space="0" w:color="auto"/>
        <w:right w:val="none" w:sz="0" w:space="0" w:color="auto"/>
      </w:divBdr>
    </w:div>
    <w:div w:id="867138249">
      <w:bodyDiv w:val="1"/>
      <w:marLeft w:val="0"/>
      <w:marRight w:val="0"/>
      <w:marTop w:val="0"/>
      <w:marBottom w:val="0"/>
      <w:divBdr>
        <w:top w:val="none" w:sz="0" w:space="0" w:color="auto"/>
        <w:left w:val="none" w:sz="0" w:space="0" w:color="auto"/>
        <w:bottom w:val="none" w:sz="0" w:space="0" w:color="auto"/>
        <w:right w:val="none" w:sz="0" w:space="0" w:color="auto"/>
      </w:divBdr>
    </w:div>
    <w:div w:id="933854304">
      <w:bodyDiv w:val="1"/>
      <w:marLeft w:val="0"/>
      <w:marRight w:val="0"/>
      <w:marTop w:val="0"/>
      <w:marBottom w:val="0"/>
      <w:divBdr>
        <w:top w:val="none" w:sz="0" w:space="0" w:color="auto"/>
        <w:left w:val="none" w:sz="0" w:space="0" w:color="auto"/>
        <w:bottom w:val="none" w:sz="0" w:space="0" w:color="auto"/>
        <w:right w:val="none" w:sz="0" w:space="0" w:color="auto"/>
      </w:divBdr>
    </w:div>
    <w:div w:id="991955991">
      <w:bodyDiv w:val="1"/>
      <w:marLeft w:val="0"/>
      <w:marRight w:val="0"/>
      <w:marTop w:val="0"/>
      <w:marBottom w:val="0"/>
      <w:divBdr>
        <w:top w:val="none" w:sz="0" w:space="0" w:color="auto"/>
        <w:left w:val="none" w:sz="0" w:space="0" w:color="auto"/>
        <w:bottom w:val="none" w:sz="0" w:space="0" w:color="auto"/>
        <w:right w:val="none" w:sz="0" w:space="0" w:color="auto"/>
      </w:divBdr>
    </w:div>
    <w:div w:id="997221804">
      <w:bodyDiv w:val="1"/>
      <w:marLeft w:val="0"/>
      <w:marRight w:val="0"/>
      <w:marTop w:val="0"/>
      <w:marBottom w:val="0"/>
      <w:divBdr>
        <w:top w:val="none" w:sz="0" w:space="0" w:color="auto"/>
        <w:left w:val="none" w:sz="0" w:space="0" w:color="auto"/>
        <w:bottom w:val="none" w:sz="0" w:space="0" w:color="auto"/>
        <w:right w:val="none" w:sz="0" w:space="0" w:color="auto"/>
      </w:divBdr>
    </w:div>
    <w:div w:id="1006126689">
      <w:bodyDiv w:val="1"/>
      <w:marLeft w:val="0"/>
      <w:marRight w:val="0"/>
      <w:marTop w:val="0"/>
      <w:marBottom w:val="0"/>
      <w:divBdr>
        <w:top w:val="none" w:sz="0" w:space="0" w:color="auto"/>
        <w:left w:val="none" w:sz="0" w:space="0" w:color="auto"/>
        <w:bottom w:val="none" w:sz="0" w:space="0" w:color="auto"/>
        <w:right w:val="none" w:sz="0" w:space="0" w:color="auto"/>
      </w:divBdr>
    </w:div>
    <w:div w:id="1075514740">
      <w:bodyDiv w:val="1"/>
      <w:marLeft w:val="0"/>
      <w:marRight w:val="0"/>
      <w:marTop w:val="0"/>
      <w:marBottom w:val="0"/>
      <w:divBdr>
        <w:top w:val="none" w:sz="0" w:space="0" w:color="auto"/>
        <w:left w:val="none" w:sz="0" w:space="0" w:color="auto"/>
        <w:bottom w:val="none" w:sz="0" w:space="0" w:color="auto"/>
        <w:right w:val="none" w:sz="0" w:space="0" w:color="auto"/>
      </w:divBdr>
    </w:div>
    <w:div w:id="1413889735">
      <w:bodyDiv w:val="1"/>
      <w:marLeft w:val="0"/>
      <w:marRight w:val="0"/>
      <w:marTop w:val="0"/>
      <w:marBottom w:val="0"/>
      <w:divBdr>
        <w:top w:val="none" w:sz="0" w:space="0" w:color="auto"/>
        <w:left w:val="none" w:sz="0" w:space="0" w:color="auto"/>
        <w:bottom w:val="none" w:sz="0" w:space="0" w:color="auto"/>
        <w:right w:val="none" w:sz="0" w:space="0" w:color="auto"/>
      </w:divBdr>
    </w:div>
    <w:div w:id="1433547566">
      <w:bodyDiv w:val="1"/>
      <w:marLeft w:val="0"/>
      <w:marRight w:val="0"/>
      <w:marTop w:val="0"/>
      <w:marBottom w:val="0"/>
      <w:divBdr>
        <w:top w:val="none" w:sz="0" w:space="0" w:color="auto"/>
        <w:left w:val="none" w:sz="0" w:space="0" w:color="auto"/>
        <w:bottom w:val="none" w:sz="0" w:space="0" w:color="auto"/>
        <w:right w:val="none" w:sz="0" w:space="0" w:color="auto"/>
      </w:divBdr>
    </w:div>
    <w:div w:id="1583677476">
      <w:bodyDiv w:val="1"/>
      <w:marLeft w:val="0"/>
      <w:marRight w:val="0"/>
      <w:marTop w:val="0"/>
      <w:marBottom w:val="0"/>
      <w:divBdr>
        <w:top w:val="none" w:sz="0" w:space="0" w:color="auto"/>
        <w:left w:val="none" w:sz="0" w:space="0" w:color="auto"/>
        <w:bottom w:val="none" w:sz="0" w:space="0" w:color="auto"/>
        <w:right w:val="none" w:sz="0" w:space="0" w:color="auto"/>
      </w:divBdr>
    </w:div>
    <w:div w:id="1778598135">
      <w:bodyDiv w:val="1"/>
      <w:marLeft w:val="0"/>
      <w:marRight w:val="0"/>
      <w:marTop w:val="0"/>
      <w:marBottom w:val="0"/>
      <w:divBdr>
        <w:top w:val="none" w:sz="0" w:space="0" w:color="auto"/>
        <w:left w:val="none" w:sz="0" w:space="0" w:color="auto"/>
        <w:bottom w:val="none" w:sz="0" w:space="0" w:color="auto"/>
        <w:right w:val="none" w:sz="0" w:space="0" w:color="auto"/>
      </w:divBdr>
    </w:div>
    <w:div w:id="1804273008">
      <w:bodyDiv w:val="1"/>
      <w:marLeft w:val="0"/>
      <w:marRight w:val="0"/>
      <w:marTop w:val="0"/>
      <w:marBottom w:val="0"/>
      <w:divBdr>
        <w:top w:val="none" w:sz="0" w:space="0" w:color="auto"/>
        <w:left w:val="none" w:sz="0" w:space="0" w:color="auto"/>
        <w:bottom w:val="none" w:sz="0" w:space="0" w:color="auto"/>
        <w:right w:val="none" w:sz="0" w:space="0" w:color="auto"/>
      </w:divBdr>
    </w:div>
    <w:div w:id="20550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frro.org/resources/documents/Meetings/NLA_Business_Licensing_May2025.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frro.org/resources/documents/Meetings/NPWG_notes_3Oct2024_Draft.doc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frro.org/resources/documents/Meetings/EFJ_journalist_share_May2025.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frro.org/resources/documents/Meetings/PDLN_PPR_IFRRO_May2025.pdf" TargetMode="External"/><Relationship Id="rId4" Type="http://schemas.openxmlformats.org/officeDocument/2006/relationships/webSettings" Target="webSettings.xml"/><Relationship Id="rId9" Type="http://schemas.openxmlformats.org/officeDocument/2006/relationships/hyperlink" Target="https://ifrro.org/resources/documents/Meetings/PLS_IFRRO_AI_May2025.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449</Words>
  <Characters>2566</Characters>
  <Application>Microsoft Office Word</Application>
  <DocSecurity>0</DocSecurity>
  <Lines>53</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Anthi Akritidou</cp:lastModifiedBy>
  <cp:revision>2</cp:revision>
  <dcterms:created xsi:type="dcterms:W3CDTF">2025-07-03T10:49:00Z</dcterms:created>
  <dcterms:modified xsi:type="dcterms:W3CDTF">2025-07-03T10:49:00Z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201aae05be6962e4772d386ab5798c0c0256ddb9b9a820c6f62283b485c48b75</vt:lpwstr>
  </property>
</Properties>
</file>